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4A" w:rsidRDefault="00501E4A" w:rsidP="00E63D68">
      <w:pPr>
        <w:jc w:val="center"/>
        <w:rPr>
          <w:b/>
          <w:bCs/>
          <w:sz w:val="28"/>
          <w:szCs w:val="28"/>
        </w:rPr>
      </w:pPr>
    </w:p>
    <w:p w:rsidR="00E63D68" w:rsidRDefault="00E63D68" w:rsidP="00E63D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  <w:r w:rsidR="007F5400">
        <w:rPr>
          <w:b/>
          <w:bCs/>
          <w:sz w:val="28"/>
          <w:szCs w:val="28"/>
        </w:rPr>
        <w:t xml:space="preserve"> </w:t>
      </w:r>
    </w:p>
    <w:p w:rsidR="00E63D68" w:rsidRDefault="00E63D68" w:rsidP="00E63D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тему: «</w:t>
      </w:r>
      <w:r>
        <w:rPr>
          <w:rFonts w:eastAsia="Calibri"/>
          <w:b/>
          <w:bCs/>
          <w:sz w:val="28"/>
          <w:szCs w:val="28"/>
        </w:rPr>
        <w:t>О создании и развитии ресурсных центров</w:t>
      </w:r>
      <w:r>
        <w:rPr>
          <w:rFonts w:eastAsia="Calibri"/>
          <w:b/>
          <w:bCs/>
          <w:sz w:val="28"/>
          <w:szCs w:val="28"/>
        </w:rPr>
        <w:br/>
        <w:t xml:space="preserve"> по поддержке гражданских инициатив в Ханты-Мансийском автономном округе – Югре</w:t>
      </w:r>
    </w:p>
    <w:p w:rsidR="00E63D68" w:rsidRDefault="00E63D68">
      <w:pPr>
        <w:jc w:val="center"/>
        <w:rPr>
          <w:b/>
          <w:bCs/>
          <w:sz w:val="28"/>
          <w:szCs w:val="28"/>
        </w:rPr>
      </w:pPr>
    </w:p>
    <w:p w:rsidR="001176ED" w:rsidRPr="002B056C" w:rsidRDefault="007F5400" w:rsidP="00E63D68">
      <w:pPr>
        <w:ind w:left="4248" w:firstLine="708"/>
        <w:jc w:val="right"/>
        <w:rPr>
          <w:bCs/>
          <w:i/>
          <w:sz w:val="28"/>
          <w:szCs w:val="28"/>
        </w:rPr>
      </w:pPr>
      <w:r w:rsidRPr="002B056C">
        <w:rPr>
          <w:bCs/>
          <w:i/>
          <w:sz w:val="28"/>
          <w:szCs w:val="28"/>
        </w:rPr>
        <w:t>Самохвалов</w:t>
      </w:r>
      <w:r w:rsidR="00E63D68" w:rsidRPr="002B056C">
        <w:rPr>
          <w:bCs/>
          <w:i/>
          <w:sz w:val="28"/>
          <w:szCs w:val="28"/>
        </w:rPr>
        <w:t xml:space="preserve"> Яков Андреевич, директор</w:t>
      </w:r>
      <w:r w:rsidRPr="002B056C">
        <w:rPr>
          <w:bCs/>
          <w:i/>
          <w:sz w:val="28"/>
          <w:szCs w:val="28"/>
        </w:rPr>
        <w:t xml:space="preserve"> Департамента молодежной политики, гражданских инициатив и внешних связей Ханты-Мансийс</w:t>
      </w:r>
      <w:r w:rsidR="00E63D68" w:rsidRPr="002B056C">
        <w:rPr>
          <w:bCs/>
          <w:i/>
          <w:sz w:val="28"/>
          <w:szCs w:val="28"/>
        </w:rPr>
        <w:t>кого автономного округа – Югры</w:t>
      </w:r>
    </w:p>
    <w:p w:rsidR="001176ED" w:rsidRDefault="001176ED">
      <w:pPr>
        <w:jc w:val="center"/>
        <w:rPr>
          <w:b/>
          <w:bCs/>
        </w:rPr>
      </w:pPr>
    </w:p>
    <w:p w:rsidR="001176ED" w:rsidRDefault="007F5400" w:rsidP="00E63D68">
      <w:pPr>
        <w:ind w:firstLine="72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Ханты-Мансийский автономный округ – Югра (далее – автономный округ) характеризуется высокой устойчивостью существования НКО </w:t>
      </w:r>
      <w:r>
        <w:rPr>
          <w:rFonts w:eastAsia="Times New Roman"/>
          <w:sz w:val="28"/>
          <w:szCs w:val="28"/>
        </w:rPr>
        <w:br/>
        <w:t>в регионе,</w:t>
      </w:r>
      <w:r>
        <w:rPr>
          <w:rFonts w:eastAsia="Times New Roman"/>
          <w:sz w:val="28"/>
          <w:szCs w:val="28"/>
        </w:rPr>
        <w:t xml:space="preserve"> входит в топ-10 рейтинга субъектов Российской Федерации </w:t>
      </w:r>
      <w:r>
        <w:rPr>
          <w:rFonts w:eastAsia="Times New Roman"/>
          <w:sz w:val="28"/>
          <w:szCs w:val="28"/>
        </w:rPr>
        <w:br/>
        <w:t xml:space="preserve">по итогам реализации механизмов поддержки социально ориентированных некоммерческих организаций, Регионального рейтинга третьего сектора «Регион-НКО». </w:t>
      </w:r>
    </w:p>
    <w:p w:rsidR="001176ED" w:rsidRDefault="007F5400" w:rsidP="00E63D68">
      <w:pPr>
        <w:ind w:firstLine="72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Важны реальные изменения в обществе, решение со</w:t>
      </w:r>
      <w:r>
        <w:rPr>
          <w:rFonts w:eastAsia="Times New Roman"/>
          <w:sz w:val="28"/>
          <w:szCs w:val="28"/>
        </w:rPr>
        <w:t xml:space="preserve">циально значимых проблем, реализация гражданских инициатив. </w:t>
      </w:r>
      <w:r w:rsidR="00E63D68"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 xml:space="preserve">адача </w:t>
      </w:r>
      <w:r>
        <w:rPr>
          <w:rFonts w:eastAsia="Times New Roman"/>
          <w:sz w:val="28"/>
          <w:szCs w:val="28"/>
        </w:rPr>
        <w:t xml:space="preserve">органов </w:t>
      </w:r>
      <w:r w:rsidR="00E63D68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власти – снять барьеры, максимально упростив входной порог, облегчить для молодых некоммерческих организаций получение государственной поддержки, дать возможность реализова</w:t>
      </w:r>
      <w:r>
        <w:rPr>
          <w:rFonts w:eastAsia="Times New Roman"/>
          <w:sz w:val="28"/>
          <w:szCs w:val="28"/>
        </w:rPr>
        <w:t xml:space="preserve">ть свои социальные, гражданские инициативы. </w:t>
      </w:r>
    </w:p>
    <w:p w:rsidR="001176ED" w:rsidRDefault="00E63D68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В Югре</w:t>
      </w:r>
      <w:r w:rsidR="007F5400">
        <w:rPr>
          <w:rFonts w:eastAsia="Times New Roman"/>
          <w:sz w:val="28"/>
          <w:szCs w:val="28"/>
        </w:rPr>
        <w:t xml:space="preserve"> действует экосистема поддержки гражданских инициатив, направленная на снятие барьеров, упрощение получения государственной поддержки для некоммерческих организаций, как опытного участника некоммерческого</w:t>
      </w:r>
      <w:r w:rsidR="007F5400">
        <w:rPr>
          <w:rFonts w:eastAsia="Times New Roman"/>
          <w:sz w:val="28"/>
          <w:szCs w:val="28"/>
        </w:rPr>
        <w:t xml:space="preserve"> сектора, так и стоящей в самом начале своего пути, путем снятия барьеров для реализации социальных, гражданских инициатив.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Экосистема поддержки гражданских инициатив строится </w:t>
      </w:r>
      <w:r>
        <w:rPr>
          <w:rFonts w:eastAsia="Times New Roman"/>
          <w:sz w:val="28"/>
          <w:szCs w:val="28"/>
        </w:rPr>
        <w:br/>
        <w:t xml:space="preserve">на принципах </w:t>
      </w:r>
      <w:proofErr w:type="spellStart"/>
      <w:r>
        <w:rPr>
          <w:rFonts w:eastAsia="Times New Roman"/>
          <w:sz w:val="28"/>
          <w:szCs w:val="28"/>
        </w:rPr>
        <w:t>клиентоцентричности</w:t>
      </w:r>
      <w:proofErr w:type="spellEnd"/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На сегодняшний день в роли многофункциональны</w:t>
      </w:r>
      <w:r>
        <w:rPr>
          <w:rFonts w:eastAsia="Times New Roman"/>
          <w:sz w:val="28"/>
          <w:szCs w:val="28"/>
        </w:rPr>
        <w:t xml:space="preserve">х центров для гражданского общества </w:t>
      </w:r>
      <w:r>
        <w:rPr>
          <w:rFonts w:eastAsia="Times New Roman"/>
          <w:sz w:val="28"/>
          <w:szCs w:val="28"/>
        </w:rPr>
        <w:br/>
        <w:t xml:space="preserve">на обширной территории муниципальных образований </w:t>
      </w:r>
      <w:r>
        <w:rPr>
          <w:rFonts w:eastAsia="Times New Roman"/>
          <w:sz w:val="28"/>
          <w:szCs w:val="28"/>
        </w:rPr>
        <w:t xml:space="preserve">автономного </w:t>
      </w:r>
      <w:r w:rsidR="00E63D68">
        <w:rPr>
          <w:rFonts w:eastAsia="Times New Roman"/>
          <w:sz w:val="28"/>
          <w:szCs w:val="28"/>
        </w:rPr>
        <w:t>округа успешно</w:t>
      </w:r>
      <w:r>
        <w:rPr>
          <w:rFonts w:eastAsia="Times New Roman"/>
          <w:sz w:val="28"/>
          <w:szCs w:val="28"/>
        </w:rPr>
        <w:t xml:space="preserve"> функционирует 24 ресурсных центра, формируя важную инфраструктуру для </w:t>
      </w:r>
      <w:r w:rsidR="00E63D68">
        <w:rPr>
          <w:rFonts w:eastAsia="Times New Roman"/>
          <w:sz w:val="28"/>
          <w:szCs w:val="28"/>
        </w:rPr>
        <w:t>поддержки гражданских инициатив.</w:t>
      </w:r>
      <w:r>
        <w:rPr>
          <w:rFonts w:eastAsia="Times New Roman"/>
          <w:sz w:val="28"/>
          <w:szCs w:val="28"/>
        </w:rPr>
        <w:t xml:space="preserve"> </w:t>
      </w:r>
      <w:r w:rsidR="00E63D68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18 ресурсных центров получи</w:t>
      </w:r>
      <w:r>
        <w:rPr>
          <w:rFonts w:eastAsia="Times New Roman"/>
          <w:sz w:val="28"/>
          <w:szCs w:val="28"/>
        </w:rPr>
        <w:t xml:space="preserve">ли финансовую поддержку по итогам проведенного конкурса на предоставление грантов Губернатора автономного округа для </w:t>
      </w:r>
      <w:r w:rsidR="00E63D68">
        <w:rPr>
          <w:rFonts w:eastAsia="Times New Roman"/>
          <w:sz w:val="28"/>
          <w:szCs w:val="28"/>
        </w:rPr>
        <w:t xml:space="preserve">ресурсных центров в 2024 году. </w:t>
      </w:r>
      <w:r>
        <w:rPr>
          <w:rFonts w:eastAsia="Times New Roman"/>
          <w:sz w:val="28"/>
          <w:szCs w:val="28"/>
        </w:rPr>
        <w:t xml:space="preserve">В рамках добровольной сертификации на территории автономного округа действует 6 ресурсных центров. 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Ресурсн</w:t>
      </w:r>
      <w:r>
        <w:rPr>
          <w:rFonts w:eastAsia="Times New Roman"/>
          <w:sz w:val="28"/>
          <w:szCs w:val="28"/>
        </w:rPr>
        <w:t xml:space="preserve">ые центры осуществляют деятельность по развитию общества </w:t>
      </w:r>
      <w:r>
        <w:rPr>
          <w:rFonts w:eastAsia="Times New Roman"/>
          <w:sz w:val="28"/>
          <w:szCs w:val="28"/>
        </w:rPr>
        <w:br/>
        <w:t>и по реализации гражданских инициатив в Югре, в том числе: оказание консультационных, обучающих и поддерживающих услуг представителям социально ориентированных некоммерческих организаций по вопросам</w:t>
      </w:r>
      <w:r>
        <w:rPr>
          <w:rFonts w:eastAsia="Times New Roman"/>
          <w:sz w:val="28"/>
          <w:szCs w:val="28"/>
        </w:rPr>
        <w:t xml:space="preserve"> создания некоммерческой организации, ведения отчётной документации, </w:t>
      </w:r>
      <w:r>
        <w:rPr>
          <w:rFonts w:eastAsia="Times New Roman"/>
          <w:sz w:val="28"/>
          <w:szCs w:val="28"/>
        </w:rPr>
        <w:br/>
        <w:t xml:space="preserve">а также эффективного управления деятельностью, информационная поддержка деятельности, гражданских активистов, добровольческого </w:t>
      </w:r>
      <w:r>
        <w:rPr>
          <w:rFonts w:eastAsia="Times New Roman"/>
          <w:sz w:val="28"/>
          <w:szCs w:val="28"/>
        </w:rPr>
        <w:lastRenderedPageBreak/>
        <w:t>(волонтерского) движения и инициативных граждан: публикации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br/>
        <w:t>о социальных активностях организаций, оказываемых ими услугах, реализуемых проектах, разработка и запуск проектов с привлечением федеральных и (или) региональных ресурсов.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Ресурсные центры в Югре стали неотъемлемой частью гражданского общества, предостав</w:t>
      </w:r>
      <w:r>
        <w:rPr>
          <w:rFonts w:eastAsia="Times New Roman"/>
          <w:sz w:val="28"/>
          <w:szCs w:val="28"/>
        </w:rPr>
        <w:t>ляя необходимую поддержку НКО и гражданским инициативам. С их помощью успешно реализуются важные социальные проекты, а также происходит развитие добровольческого движения. Тем не менее, для дальнейшего эффективного функционирования ресурсных центров необхо</w:t>
      </w:r>
      <w:r>
        <w:rPr>
          <w:rFonts w:eastAsia="Times New Roman"/>
          <w:sz w:val="28"/>
          <w:szCs w:val="28"/>
        </w:rPr>
        <w:t>димо решать существующие проблемы и использовать новые возможности для развития.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14-15 сентября 2024 года в Ханты-Мансийске прошла проектная сессия «Стратегия развития ресурсных центров». Проектная сессия включала лекционно-диалоговые площадки с Фондом «Це</w:t>
      </w:r>
      <w:r>
        <w:rPr>
          <w:rFonts w:eastAsia="Times New Roman"/>
          <w:sz w:val="28"/>
          <w:szCs w:val="28"/>
        </w:rPr>
        <w:t>нтр гражданских и социальных инициатив Югры» (далее – Фонд) и приглашенными спикерами.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Работа в ходе проектной сессии строилась вокруг определения проблематики и поиска решений по трем основным трекам: </w:t>
      </w:r>
    </w:p>
    <w:p w:rsidR="002B056C" w:rsidRPr="002B056C" w:rsidRDefault="007F5400" w:rsidP="002B056C">
      <w:pPr>
        <w:pStyle w:val="af7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Times New Roman"/>
          <w:sz w:val="28"/>
          <w:szCs w:val="28"/>
          <w14:ligatures w14:val="none"/>
        </w:rPr>
      </w:pPr>
      <w:r w:rsidRPr="002B056C">
        <w:rPr>
          <w:rFonts w:eastAsia="Times New Roman"/>
          <w:sz w:val="28"/>
          <w:szCs w:val="28"/>
        </w:rPr>
        <w:t>Проекты и решения, способствующие снижению остроты пр</w:t>
      </w:r>
      <w:r w:rsidRPr="002B056C">
        <w:rPr>
          <w:rFonts w:eastAsia="Times New Roman"/>
          <w:sz w:val="28"/>
          <w:szCs w:val="28"/>
        </w:rPr>
        <w:t>облем между ресурсными центрами и их клиентами, целевой аудиторией.</w:t>
      </w:r>
    </w:p>
    <w:p w:rsidR="002B056C" w:rsidRPr="002B056C" w:rsidRDefault="007F5400" w:rsidP="002B056C">
      <w:pPr>
        <w:pStyle w:val="af7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Times New Roman"/>
          <w:sz w:val="28"/>
          <w:szCs w:val="28"/>
          <w14:ligatures w14:val="none"/>
        </w:rPr>
      </w:pPr>
      <w:r w:rsidRPr="002B056C">
        <w:rPr>
          <w:rFonts w:eastAsia="Times New Roman"/>
          <w:sz w:val="28"/>
          <w:szCs w:val="28"/>
        </w:rPr>
        <w:t>Проекты и решения, способствующие снижению остроты проблем между ресурсными центрами и органами исполнительной власти, в том числе Фондом гражданских инициатив.</w:t>
      </w:r>
    </w:p>
    <w:p w:rsidR="001176ED" w:rsidRPr="002B056C" w:rsidRDefault="002B056C" w:rsidP="002B056C">
      <w:pPr>
        <w:pStyle w:val="af7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 </w:t>
      </w:r>
      <w:r w:rsidR="007F5400" w:rsidRPr="002B056C">
        <w:rPr>
          <w:rFonts w:eastAsia="Times New Roman"/>
          <w:sz w:val="28"/>
          <w:szCs w:val="28"/>
        </w:rPr>
        <w:t>Проекты и решения, способст</w:t>
      </w:r>
      <w:r w:rsidR="007F5400" w:rsidRPr="002B056C">
        <w:rPr>
          <w:rFonts w:eastAsia="Times New Roman"/>
          <w:sz w:val="28"/>
          <w:szCs w:val="28"/>
        </w:rPr>
        <w:t>вующие снижению остроты проблем внутри ресурсных центров.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роанализировав работу по данным трекам было сформировано пять проектов развития сети ресурсных центров со следующими предложениями развития:</w:t>
      </w:r>
    </w:p>
    <w:p w:rsidR="001176ED" w:rsidRDefault="007F5400" w:rsidP="00E63D68">
      <w:pPr>
        <w:ind w:left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Стандарт деятельности ресурсного центра 2.0: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разработк</w:t>
      </w:r>
      <w:r>
        <w:rPr>
          <w:rFonts w:eastAsia="Times New Roman"/>
          <w:sz w:val="28"/>
          <w:szCs w:val="28"/>
        </w:rPr>
        <w:t>а единого стандарта деятельности ресурсного центра (показатели, направления</w:t>
      </w:r>
      <w:bookmarkStart w:id="0" w:name="undefined"/>
      <w:bookmarkEnd w:id="0"/>
      <w:r>
        <w:rPr>
          <w:rFonts w:eastAsia="Times New Roman"/>
          <w:sz w:val="28"/>
          <w:szCs w:val="28"/>
        </w:rPr>
        <w:t>, организационная структура, функции и др.), носящий не рекомендательный, а обязательный характер;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ресурсный центр является подведомственной структурой управления внутренней полит</w:t>
      </w:r>
      <w:r>
        <w:rPr>
          <w:rFonts w:eastAsia="Times New Roman"/>
          <w:sz w:val="28"/>
          <w:szCs w:val="28"/>
        </w:rPr>
        <w:t>ики (приведение в соответствие вертикали власти);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определение конкретного круга лиц, которым ресурсный центр оказывает услуги (документальное закрепление на региональном уровне);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обязательство муниципалитета включать в муниципальную программу расходы на содержание ресурсного центра (заработная плата, административно-хозяйственные расходы);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разработка единого </w:t>
      </w:r>
      <w:proofErr w:type="spellStart"/>
      <w:r>
        <w:rPr>
          <w:rFonts w:eastAsia="Times New Roman"/>
          <w:sz w:val="28"/>
          <w:szCs w:val="28"/>
        </w:rPr>
        <w:t>брендбука</w:t>
      </w:r>
      <w:proofErr w:type="spellEnd"/>
      <w:r>
        <w:rPr>
          <w:rFonts w:eastAsia="Times New Roman"/>
          <w:sz w:val="28"/>
          <w:szCs w:val="28"/>
        </w:rPr>
        <w:t xml:space="preserve"> ресурсного центра в автономном округе;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 подготовка докумен</w:t>
      </w:r>
      <w:r>
        <w:rPr>
          <w:rFonts w:eastAsia="Times New Roman"/>
          <w:sz w:val="28"/>
          <w:szCs w:val="28"/>
        </w:rPr>
        <w:t>тов – кодекса этики, дорожной карты.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2. </w:t>
      </w:r>
      <w:proofErr w:type="spellStart"/>
      <w:r>
        <w:rPr>
          <w:rFonts w:eastAsia="Times New Roman"/>
          <w:sz w:val="28"/>
          <w:szCs w:val="28"/>
        </w:rPr>
        <w:t>Дашборд</w:t>
      </w:r>
      <w:proofErr w:type="spellEnd"/>
      <w:r>
        <w:rPr>
          <w:rFonts w:eastAsia="Times New Roman"/>
          <w:sz w:val="28"/>
          <w:szCs w:val="28"/>
        </w:rPr>
        <w:t xml:space="preserve"> показателей: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анализ и сбор существующих показателей рейтингов развития гражданского общества;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проведение стратегической сессии с органами исполнительной власти, НКО, которые формируют рейтинги / показател</w:t>
      </w:r>
      <w:r>
        <w:rPr>
          <w:rFonts w:eastAsia="Times New Roman"/>
          <w:sz w:val="28"/>
          <w:szCs w:val="28"/>
        </w:rPr>
        <w:t>и и т.д.;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lastRenderedPageBreak/>
        <w:t>- сформировать проект приоритетных показателей, объединяющих все рейтинги для системной оценки;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сформировать методику сбора и измерения приоритетных показателей (включение в проектные заявки);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использование директивного метода для внедрения с</w:t>
      </w:r>
      <w:r>
        <w:rPr>
          <w:rFonts w:eastAsia="Times New Roman"/>
          <w:sz w:val="28"/>
          <w:szCs w:val="28"/>
        </w:rPr>
        <w:t>истемы и определение единого оператора для сбора информации;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открытые данные на ЕЛКА;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проектные заявки грантовых конкурсов с добавлением пункта о соответствии национальным целям и проектам;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проведение ресурсным центром социологических исследований с жителями муниципалитета;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интеграция всех </w:t>
      </w:r>
      <w:r>
        <w:rPr>
          <w:rFonts w:eastAsia="Times New Roman"/>
          <w:sz w:val="28"/>
          <w:szCs w:val="28"/>
          <w:lang w:val="en-US"/>
        </w:rPr>
        <w:t>CRM</w:t>
      </w:r>
      <w:r>
        <w:rPr>
          <w:rFonts w:eastAsia="Times New Roman"/>
          <w:sz w:val="28"/>
          <w:szCs w:val="28"/>
        </w:rPr>
        <w:t>-систем и наличие ИТ-специалиста в стандарте ресурсного центра.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3. Новые образовательные форматы: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структурирование образовательной и просветительс</w:t>
      </w:r>
      <w:r>
        <w:rPr>
          <w:rFonts w:eastAsia="Times New Roman"/>
          <w:sz w:val="28"/>
          <w:szCs w:val="28"/>
        </w:rPr>
        <w:t xml:space="preserve">кой деятельности по направлениям грантового конкурса (ЗОЖ, экология, </w:t>
      </w:r>
      <w:proofErr w:type="spellStart"/>
      <w:r>
        <w:rPr>
          <w:rFonts w:eastAsia="Times New Roman"/>
          <w:sz w:val="28"/>
          <w:szCs w:val="28"/>
        </w:rPr>
        <w:t>патриотика</w:t>
      </w:r>
      <w:proofErr w:type="spellEnd"/>
      <w:r>
        <w:rPr>
          <w:rFonts w:eastAsia="Times New Roman"/>
          <w:sz w:val="28"/>
          <w:szCs w:val="28"/>
        </w:rPr>
        <w:t>, социальное обслуживание и т.д.);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наставничество опытных НКО над новичками (создать школу наставников);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проведение межмуниципальные и межрегиональных стажировок среди НКО;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ресурсный лагерь для НКО с привлечением ресурсных центров как </w:t>
      </w:r>
      <w:proofErr w:type="spellStart"/>
      <w:r>
        <w:rPr>
          <w:rFonts w:eastAsia="Times New Roman"/>
          <w:sz w:val="28"/>
          <w:szCs w:val="28"/>
        </w:rPr>
        <w:t>соорганизаторов</w:t>
      </w:r>
      <w:proofErr w:type="spellEnd"/>
      <w:r>
        <w:rPr>
          <w:rFonts w:eastAsia="Times New Roman"/>
          <w:sz w:val="28"/>
          <w:szCs w:val="28"/>
        </w:rPr>
        <w:t>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курс на тему «Эффекты от проекта» для НКО;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обучение работе с </w:t>
      </w:r>
      <w:proofErr w:type="spellStart"/>
      <w:r>
        <w:rPr>
          <w:rFonts w:eastAsia="Times New Roman"/>
          <w:sz w:val="28"/>
          <w:szCs w:val="28"/>
        </w:rPr>
        <w:t>нейросетями</w:t>
      </w:r>
      <w:proofErr w:type="spellEnd"/>
      <w:r>
        <w:rPr>
          <w:rFonts w:eastAsia="Times New Roman"/>
          <w:sz w:val="28"/>
          <w:szCs w:val="28"/>
        </w:rPr>
        <w:t>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повышение квалификации сотрудников ресурсных центров (организация мероприятий, ведение перегово</w:t>
      </w:r>
      <w:r>
        <w:rPr>
          <w:rFonts w:eastAsia="Times New Roman"/>
          <w:sz w:val="28"/>
          <w:szCs w:val="28"/>
        </w:rPr>
        <w:t xml:space="preserve">ров, </w:t>
      </w:r>
      <w:proofErr w:type="spellStart"/>
      <w:r>
        <w:rPr>
          <w:rFonts w:eastAsia="Times New Roman"/>
          <w:sz w:val="28"/>
          <w:szCs w:val="28"/>
        </w:rPr>
        <w:t>игропрактика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тренерство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модерация</w:t>
      </w:r>
      <w:proofErr w:type="spellEnd"/>
      <w:r>
        <w:rPr>
          <w:rFonts w:eastAsia="Times New Roman"/>
          <w:sz w:val="28"/>
          <w:szCs w:val="28"/>
        </w:rPr>
        <w:t xml:space="preserve"> и др.).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4. Новые форматы работы и монетизация услуг ресурсного центра: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создание инновационных продуктов (коробочных версий);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обоснование стоимости услуг и теплые продажи друг другу;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холодные продажи вне сети р</w:t>
      </w:r>
      <w:r>
        <w:rPr>
          <w:rFonts w:eastAsia="Times New Roman"/>
          <w:sz w:val="28"/>
          <w:szCs w:val="28"/>
        </w:rPr>
        <w:t>есурсных центров;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создание базы (</w:t>
      </w:r>
      <w:proofErr w:type="spellStart"/>
      <w:r>
        <w:rPr>
          <w:rFonts w:eastAsia="Times New Roman"/>
          <w:sz w:val="28"/>
          <w:szCs w:val="28"/>
        </w:rPr>
        <w:t>маркетплейса</w:t>
      </w:r>
      <w:proofErr w:type="spellEnd"/>
      <w:r>
        <w:rPr>
          <w:rFonts w:eastAsia="Times New Roman"/>
          <w:sz w:val="28"/>
          <w:szCs w:val="28"/>
        </w:rPr>
        <w:t>) продуктов и экспертов некоммерческого сектора на ЕЛКА;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создание пула узконаправленных экспертов (</w:t>
      </w:r>
      <w:proofErr w:type="spellStart"/>
      <w:r>
        <w:rPr>
          <w:rFonts w:eastAsia="Times New Roman"/>
          <w:sz w:val="28"/>
          <w:szCs w:val="28"/>
        </w:rPr>
        <w:t>фасилитаторы</w:t>
      </w:r>
      <w:proofErr w:type="spellEnd"/>
      <w:r>
        <w:rPr>
          <w:rFonts w:eastAsia="Times New Roman"/>
          <w:sz w:val="28"/>
          <w:szCs w:val="28"/>
        </w:rPr>
        <w:t xml:space="preserve">, модераторы, </w:t>
      </w:r>
      <w:proofErr w:type="spellStart"/>
      <w:r>
        <w:rPr>
          <w:rFonts w:eastAsia="Times New Roman"/>
          <w:sz w:val="28"/>
          <w:szCs w:val="28"/>
        </w:rPr>
        <w:t>игропрактики</w:t>
      </w:r>
      <w:proofErr w:type="spellEnd"/>
      <w:r>
        <w:rPr>
          <w:rFonts w:eastAsia="Times New Roman"/>
          <w:sz w:val="28"/>
          <w:szCs w:val="28"/>
        </w:rPr>
        <w:t xml:space="preserve"> и др.) за счет обучения сотрудников ресурсного центра по ученическому</w:t>
      </w:r>
      <w:r>
        <w:rPr>
          <w:rFonts w:eastAsia="Times New Roman"/>
          <w:sz w:val="28"/>
          <w:szCs w:val="28"/>
        </w:rPr>
        <w:t xml:space="preserve"> договору с Фондом;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проведение социальных </w:t>
      </w:r>
      <w:proofErr w:type="spellStart"/>
      <w:r>
        <w:rPr>
          <w:rFonts w:eastAsia="Times New Roman"/>
          <w:sz w:val="28"/>
          <w:szCs w:val="28"/>
        </w:rPr>
        <w:t>хакатонов</w:t>
      </w:r>
      <w:proofErr w:type="spellEnd"/>
      <w:r>
        <w:rPr>
          <w:rFonts w:eastAsia="Times New Roman"/>
          <w:sz w:val="28"/>
          <w:szCs w:val="28"/>
        </w:rPr>
        <w:t xml:space="preserve"> при участии ресурсных </w:t>
      </w:r>
      <w:proofErr w:type="gramStart"/>
      <w:r>
        <w:rPr>
          <w:rFonts w:eastAsia="Times New Roman"/>
          <w:sz w:val="28"/>
          <w:szCs w:val="28"/>
        </w:rPr>
        <w:t>центров ,</w:t>
      </w:r>
      <w:proofErr w:type="gramEnd"/>
      <w:r>
        <w:rPr>
          <w:rFonts w:eastAsia="Times New Roman"/>
          <w:sz w:val="28"/>
          <w:szCs w:val="28"/>
        </w:rPr>
        <w:t xml:space="preserve"> представителей бизнеса и власти;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продвижение продуктов ресурсных центров через партнерство с Фондом, Ассоциацией лидеров социальных проектов Югры и др.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5. Позиционирование </w:t>
      </w:r>
      <w:proofErr w:type="spellStart"/>
      <w:r>
        <w:rPr>
          <w:rFonts w:eastAsia="Times New Roman"/>
          <w:sz w:val="28"/>
          <w:szCs w:val="28"/>
        </w:rPr>
        <w:t>ресурных</w:t>
      </w:r>
      <w:proofErr w:type="spellEnd"/>
      <w:r>
        <w:rPr>
          <w:rFonts w:eastAsia="Times New Roman"/>
          <w:sz w:val="28"/>
          <w:szCs w:val="28"/>
        </w:rPr>
        <w:t xml:space="preserve"> центров: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единый механизм разработки бренда;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система работы со СМИ, включая социальные сети и телевидение;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подготовка </w:t>
      </w:r>
      <w:proofErr w:type="spellStart"/>
      <w:r>
        <w:rPr>
          <w:rFonts w:eastAsia="Times New Roman"/>
          <w:sz w:val="28"/>
          <w:szCs w:val="28"/>
        </w:rPr>
        <w:t>инфоповодов</w:t>
      </w:r>
      <w:proofErr w:type="spellEnd"/>
      <w:r>
        <w:rPr>
          <w:rFonts w:eastAsia="Times New Roman"/>
          <w:sz w:val="28"/>
          <w:szCs w:val="28"/>
        </w:rPr>
        <w:t xml:space="preserve"> для Фонда;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lastRenderedPageBreak/>
        <w:t xml:space="preserve">- привлечение человеческого капитала (создание </w:t>
      </w:r>
      <w:proofErr w:type="spellStart"/>
      <w:r>
        <w:rPr>
          <w:rFonts w:eastAsia="Times New Roman"/>
          <w:sz w:val="28"/>
          <w:szCs w:val="28"/>
        </w:rPr>
        <w:t>медиасообщества</w:t>
      </w:r>
      <w:proofErr w:type="spellEnd"/>
      <w:r>
        <w:rPr>
          <w:rFonts w:eastAsia="Times New Roman"/>
          <w:sz w:val="28"/>
          <w:szCs w:val="28"/>
        </w:rPr>
        <w:t xml:space="preserve"> ресурсных центров)</w:t>
      </w:r>
      <w:r>
        <w:rPr>
          <w:rFonts w:eastAsia="Times New Roman"/>
          <w:sz w:val="28"/>
          <w:szCs w:val="28"/>
        </w:rPr>
        <w:t>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организация обучения </w:t>
      </w:r>
      <w:r>
        <w:rPr>
          <w:rFonts w:eastAsia="Times New Roman"/>
          <w:sz w:val="28"/>
          <w:szCs w:val="28"/>
          <w:lang w:val="en-US"/>
        </w:rPr>
        <w:t>SMM</w:t>
      </w:r>
      <w:r>
        <w:rPr>
          <w:rFonts w:eastAsia="Times New Roman"/>
          <w:sz w:val="28"/>
          <w:szCs w:val="28"/>
        </w:rPr>
        <w:t>-специалиста;</w:t>
      </w:r>
    </w:p>
    <w:p w:rsidR="001176ED" w:rsidRDefault="007F5400" w:rsidP="00E63D6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- подготовка практического руководства по пиару и </w:t>
      </w:r>
      <w:proofErr w:type="spellStart"/>
      <w:r>
        <w:rPr>
          <w:rFonts w:eastAsia="Times New Roman"/>
          <w:sz w:val="28"/>
          <w:szCs w:val="28"/>
        </w:rPr>
        <w:t>брендингу</w:t>
      </w:r>
      <w:proofErr w:type="spellEnd"/>
      <w:r>
        <w:rPr>
          <w:rFonts w:eastAsia="Times New Roman"/>
          <w:sz w:val="28"/>
          <w:szCs w:val="28"/>
        </w:rPr>
        <w:t>.</w:t>
      </w:r>
    </w:p>
    <w:p w:rsidR="001176ED" w:rsidRDefault="007F5400" w:rsidP="00E63D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Важно отметить, что после определения стратегических направлений сотрудники ресурсных центров самостоятельно выбрали проекты для дальнейшего участия, что</w:t>
      </w:r>
      <w:r>
        <w:rPr>
          <w:rFonts w:eastAsia="Times New Roman"/>
          <w:sz w:val="28"/>
          <w:szCs w:val="28"/>
        </w:rPr>
        <w:t xml:space="preserve"> обеспечит их вовлеченность в процесс реализации изменений.</w:t>
      </w:r>
    </w:p>
    <w:p w:rsidR="001176ED" w:rsidRDefault="007F5400" w:rsidP="00E63D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Эти решения направлены на создание единой, эффективной системы ресурсных центров, способной качественно поддерживать развитие НКО и социальных проектов в регион</w:t>
      </w:r>
      <w:r w:rsidR="00501E4A">
        <w:rPr>
          <w:rFonts w:eastAsia="Times New Roman"/>
          <w:sz w:val="28"/>
          <w:szCs w:val="28"/>
        </w:rPr>
        <w:t>е</w:t>
      </w:r>
      <w:bookmarkStart w:id="1" w:name="_GoBack"/>
      <w:bookmarkEnd w:id="1"/>
      <w:r w:rsidR="00501E4A">
        <w:rPr>
          <w:rFonts w:eastAsia="Times New Roman"/>
          <w:sz w:val="28"/>
          <w:szCs w:val="28"/>
        </w:rPr>
        <w:t>.</w:t>
      </w:r>
    </w:p>
    <w:p w:rsidR="001176ED" w:rsidRDefault="001176ED">
      <w:pPr>
        <w:spacing w:line="360" w:lineRule="auto"/>
        <w:ind w:firstLine="708"/>
        <w:jc w:val="both"/>
        <w:rPr>
          <w:rFonts w:eastAsia="Times New Roman"/>
          <w:sz w:val="28"/>
          <w:szCs w:val="28"/>
          <w14:ligatures w14:val="none"/>
        </w:rPr>
      </w:pPr>
    </w:p>
    <w:p w:rsidR="001176ED" w:rsidRDefault="001176ED">
      <w:pPr>
        <w:jc w:val="center"/>
        <w:rPr>
          <w:b/>
          <w:bCs/>
        </w:rPr>
      </w:pPr>
    </w:p>
    <w:sectPr w:rsidR="001176ED" w:rsidSect="00501E4A">
      <w:headerReference w:type="default" r:id="rId7"/>
      <w:pgSz w:w="11906" w:h="16838"/>
      <w:pgMar w:top="568" w:right="850" w:bottom="1134" w:left="1701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400" w:rsidRDefault="007F5400">
      <w:r>
        <w:separator/>
      </w:r>
    </w:p>
  </w:endnote>
  <w:endnote w:type="continuationSeparator" w:id="0">
    <w:p w:rsidR="007F5400" w:rsidRDefault="007F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400" w:rsidRDefault="007F5400">
      <w:r>
        <w:separator/>
      </w:r>
    </w:p>
  </w:footnote>
  <w:footnote w:type="continuationSeparator" w:id="0">
    <w:p w:rsidR="007F5400" w:rsidRDefault="007F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6ED" w:rsidRDefault="001176ED" w:rsidP="00501E4A">
    <w:pPr>
      <w:pStyle w:val="a4"/>
    </w:pPr>
  </w:p>
  <w:p w:rsidR="001176ED" w:rsidRDefault="001176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95A99"/>
    <w:multiLevelType w:val="hybridMultilevel"/>
    <w:tmpl w:val="ED0ED2E8"/>
    <w:lvl w:ilvl="0" w:tplc="9CAC0A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C2D5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6C38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D6E7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822F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1CB9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4485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6AA7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14A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83087"/>
    <w:multiLevelType w:val="hybridMultilevel"/>
    <w:tmpl w:val="CA408962"/>
    <w:lvl w:ilvl="0" w:tplc="0CF45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C2B6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705A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264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3C18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4489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A18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F6E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4C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45427"/>
    <w:multiLevelType w:val="hybridMultilevel"/>
    <w:tmpl w:val="4D9838C0"/>
    <w:lvl w:ilvl="0" w:tplc="A038FE14">
      <w:start w:val="1"/>
      <w:numFmt w:val="decimal"/>
      <w:lvlText w:val="%1."/>
      <w:lvlJc w:val="left"/>
      <w:pPr>
        <w:ind w:left="1428" w:hanging="360"/>
      </w:pPr>
      <w:rPr>
        <w:i w:val="0"/>
        <w:iCs/>
      </w:rPr>
    </w:lvl>
    <w:lvl w:ilvl="1" w:tplc="00A2A706">
      <w:start w:val="1"/>
      <w:numFmt w:val="lowerLetter"/>
      <w:lvlText w:val="%2."/>
      <w:lvlJc w:val="left"/>
      <w:pPr>
        <w:ind w:left="2148" w:hanging="360"/>
      </w:pPr>
    </w:lvl>
    <w:lvl w:ilvl="2" w:tplc="44FCEB0A">
      <w:start w:val="1"/>
      <w:numFmt w:val="lowerRoman"/>
      <w:lvlText w:val="%3."/>
      <w:lvlJc w:val="right"/>
      <w:pPr>
        <w:ind w:left="2868" w:hanging="180"/>
      </w:pPr>
    </w:lvl>
    <w:lvl w:ilvl="3" w:tplc="6CD48496">
      <w:start w:val="1"/>
      <w:numFmt w:val="decimal"/>
      <w:lvlText w:val="%4."/>
      <w:lvlJc w:val="left"/>
      <w:pPr>
        <w:ind w:left="3588" w:hanging="360"/>
      </w:pPr>
    </w:lvl>
    <w:lvl w:ilvl="4" w:tplc="11AE84D6">
      <w:start w:val="1"/>
      <w:numFmt w:val="lowerLetter"/>
      <w:lvlText w:val="%5."/>
      <w:lvlJc w:val="left"/>
      <w:pPr>
        <w:ind w:left="4308" w:hanging="360"/>
      </w:pPr>
    </w:lvl>
    <w:lvl w:ilvl="5" w:tplc="7C2AF05C">
      <w:start w:val="1"/>
      <w:numFmt w:val="lowerRoman"/>
      <w:lvlText w:val="%6."/>
      <w:lvlJc w:val="right"/>
      <w:pPr>
        <w:ind w:left="5028" w:hanging="180"/>
      </w:pPr>
    </w:lvl>
    <w:lvl w:ilvl="6" w:tplc="AD6EFBAA">
      <w:start w:val="1"/>
      <w:numFmt w:val="decimal"/>
      <w:lvlText w:val="%7."/>
      <w:lvlJc w:val="left"/>
      <w:pPr>
        <w:ind w:left="5748" w:hanging="360"/>
      </w:pPr>
    </w:lvl>
    <w:lvl w:ilvl="7" w:tplc="308CEE08">
      <w:start w:val="1"/>
      <w:numFmt w:val="lowerLetter"/>
      <w:lvlText w:val="%8."/>
      <w:lvlJc w:val="left"/>
      <w:pPr>
        <w:ind w:left="6468" w:hanging="360"/>
      </w:pPr>
    </w:lvl>
    <w:lvl w:ilvl="8" w:tplc="51E6477E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903A06"/>
    <w:multiLevelType w:val="hybridMultilevel"/>
    <w:tmpl w:val="83EEB47C"/>
    <w:lvl w:ilvl="0" w:tplc="6D3C3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B8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E61F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81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C1D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A40B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4819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EA79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3C0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01CA8"/>
    <w:multiLevelType w:val="hybridMultilevel"/>
    <w:tmpl w:val="FEF0CD6A"/>
    <w:lvl w:ilvl="0" w:tplc="EC702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2BF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24BA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3412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5E4A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C9A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5240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AE65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E0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A2322"/>
    <w:multiLevelType w:val="hybridMultilevel"/>
    <w:tmpl w:val="1DA8265E"/>
    <w:lvl w:ilvl="0" w:tplc="556EF0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714AAF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24866A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91E320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CCA262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132D63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6ACED5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6D2CC3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93AD21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275759"/>
    <w:multiLevelType w:val="hybridMultilevel"/>
    <w:tmpl w:val="6EE0F9DE"/>
    <w:lvl w:ilvl="0" w:tplc="5614B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37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3E7D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6430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489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1AF5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B63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96D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6877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0E4A0D"/>
    <w:multiLevelType w:val="hybridMultilevel"/>
    <w:tmpl w:val="0C765910"/>
    <w:lvl w:ilvl="0" w:tplc="4348B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B6E6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E859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B25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819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8B7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6BD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7A4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5E9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4A39D9"/>
    <w:multiLevelType w:val="hybridMultilevel"/>
    <w:tmpl w:val="DB446CF4"/>
    <w:lvl w:ilvl="0" w:tplc="34B21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94D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CCE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9C55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5600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5E2F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A6ED0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3838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5243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E03968"/>
    <w:multiLevelType w:val="hybridMultilevel"/>
    <w:tmpl w:val="16FC12FE"/>
    <w:lvl w:ilvl="0" w:tplc="E786C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2AAC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1037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101D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3E80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022D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4A000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A307B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78BC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0E04D8"/>
    <w:multiLevelType w:val="hybridMultilevel"/>
    <w:tmpl w:val="03F62C88"/>
    <w:lvl w:ilvl="0" w:tplc="BDECA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242F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7F8F9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2B3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80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CA2C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88E6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9AE0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EC56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C4424"/>
    <w:multiLevelType w:val="hybridMultilevel"/>
    <w:tmpl w:val="D31A3256"/>
    <w:lvl w:ilvl="0" w:tplc="9A809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A64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C2F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E8E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053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A805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147C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087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EEA1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CD0FAB"/>
    <w:multiLevelType w:val="hybridMultilevel"/>
    <w:tmpl w:val="6CC4094E"/>
    <w:lvl w:ilvl="0" w:tplc="39B4FF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42C5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3472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AA4D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0446C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A054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1A3E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006F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446D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3395D"/>
    <w:multiLevelType w:val="hybridMultilevel"/>
    <w:tmpl w:val="B1B2AB54"/>
    <w:lvl w:ilvl="0" w:tplc="4E36D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820F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0485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BCED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F288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F088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64023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32B0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2472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C905D3"/>
    <w:multiLevelType w:val="hybridMultilevel"/>
    <w:tmpl w:val="629EB3D2"/>
    <w:lvl w:ilvl="0" w:tplc="325E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3637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9E5C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0E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F047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3C32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93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E44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9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F211C"/>
    <w:multiLevelType w:val="hybridMultilevel"/>
    <w:tmpl w:val="B3229930"/>
    <w:lvl w:ilvl="0" w:tplc="40020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DAB3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A28D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4EF7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86A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CD3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E3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4BF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F6AA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E619E8"/>
    <w:multiLevelType w:val="hybridMultilevel"/>
    <w:tmpl w:val="050291A2"/>
    <w:lvl w:ilvl="0" w:tplc="8E909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02FB56">
      <w:start w:val="1"/>
      <w:numFmt w:val="lowerLetter"/>
      <w:lvlText w:val="%2."/>
      <w:lvlJc w:val="left"/>
      <w:pPr>
        <w:ind w:left="1440" w:hanging="360"/>
      </w:pPr>
    </w:lvl>
    <w:lvl w:ilvl="2" w:tplc="AEA4448A">
      <w:start w:val="1"/>
      <w:numFmt w:val="lowerRoman"/>
      <w:lvlText w:val="%3."/>
      <w:lvlJc w:val="right"/>
      <w:pPr>
        <w:ind w:left="2160" w:hanging="180"/>
      </w:pPr>
    </w:lvl>
    <w:lvl w:ilvl="3" w:tplc="F89863C2">
      <w:start w:val="1"/>
      <w:numFmt w:val="decimal"/>
      <w:lvlText w:val="%4."/>
      <w:lvlJc w:val="left"/>
      <w:pPr>
        <w:ind w:left="2880" w:hanging="360"/>
      </w:pPr>
    </w:lvl>
    <w:lvl w:ilvl="4" w:tplc="698C9D00">
      <w:start w:val="1"/>
      <w:numFmt w:val="lowerLetter"/>
      <w:lvlText w:val="%5."/>
      <w:lvlJc w:val="left"/>
      <w:pPr>
        <w:ind w:left="3600" w:hanging="360"/>
      </w:pPr>
    </w:lvl>
    <w:lvl w:ilvl="5" w:tplc="762C0DCA">
      <w:start w:val="1"/>
      <w:numFmt w:val="lowerRoman"/>
      <w:lvlText w:val="%6."/>
      <w:lvlJc w:val="right"/>
      <w:pPr>
        <w:ind w:left="4320" w:hanging="180"/>
      </w:pPr>
    </w:lvl>
    <w:lvl w:ilvl="6" w:tplc="512C7814">
      <w:start w:val="1"/>
      <w:numFmt w:val="decimal"/>
      <w:lvlText w:val="%7."/>
      <w:lvlJc w:val="left"/>
      <w:pPr>
        <w:ind w:left="5040" w:hanging="360"/>
      </w:pPr>
    </w:lvl>
    <w:lvl w:ilvl="7" w:tplc="FE26A46E">
      <w:start w:val="1"/>
      <w:numFmt w:val="lowerLetter"/>
      <w:lvlText w:val="%8."/>
      <w:lvlJc w:val="left"/>
      <w:pPr>
        <w:ind w:left="5760" w:hanging="360"/>
      </w:pPr>
    </w:lvl>
    <w:lvl w:ilvl="8" w:tplc="85E0505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45416"/>
    <w:multiLevelType w:val="hybridMultilevel"/>
    <w:tmpl w:val="266A1CE2"/>
    <w:lvl w:ilvl="0" w:tplc="59C0B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587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F04D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602F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12FC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F435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F032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6C1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541E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72509A"/>
    <w:multiLevelType w:val="hybridMultilevel"/>
    <w:tmpl w:val="D0B8C19E"/>
    <w:lvl w:ilvl="0" w:tplc="826E59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6AA7D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5C70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640D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8D60D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3A3D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DE71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FAFF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64E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E599A"/>
    <w:multiLevelType w:val="hybridMultilevel"/>
    <w:tmpl w:val="794A8732"/>
    <w:lvl w:ilvl="0" w:tplc="2C565D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1CFE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16BF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3A71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0C6B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DA10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0A84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02F8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94C0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951F3A"/>
    <w:multiLevelType w:val="hybridMultilevel"/>
    <w:tmpl w:val="4FF2587E"/>
    <w:lvl w:ilvl="0" w:tplc="47B0B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FD45A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0CD6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14CF8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17E9F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D4E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823C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9A66C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E64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8A0221"/>
    <w:multiLevelType w:val="hybridMultilevel"/>
    <w:tmpl w:val="A91AD79A"/>
    <w:lvl w:ilvl="0" w:tplc="DCD8F3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AEBE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A0E8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021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9A59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74D1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1697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D345D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DC9C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3E12B4"/>
    <w:multiLevelType w:val="hybridMultilevel"/>
    <w:tmpl w:val="70B8B1B8"/>
    <w:lvl w:ilvl="0" w:tplc="4E14DB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069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08F9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E497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0F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0E55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0CA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A496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81D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7E1405"/>
    <w:multiLevelType w:val="hybridMultilevel"/>
    <w:tmpl w:val="69C6472C"/>
    <w:lvl w:ilvl="0" w:tplc="E4983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94F8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5434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BC5B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473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F89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AC3E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469B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841B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150B7D"/>
    <w:multiLevelType w:val="hybridMultilevel"/>
    <w:tmpl w:val="B1E051AC"/>
    <w:lvl w:ilvl="0" w:tplc="B4688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3E13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6CA60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2093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72E4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128E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D60D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263A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F403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7E1DF4"/>
    <w:multiLevelType w:val="hybridMultilevel"/>
    <w:tmpl w:val="82B82C9E"/>
    <w:lvl w:ilvl="0" w:tplc="F468D4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4FAF42C">
      <w:start w:val="1"/>
      <w:numFmt w:val="lowerLetter"/>
      <w:lvlText w:val="%2."/>
      <w:lvlJc w:val="left"/>
      <w:pPr>
        <w:ind w:left="1788" w:hanging="360"/>
      </w:pPr>
    </w:lvl>
    <w:lvl w:ilvl="2" w:tplc="CABE8710">
      <w:start w:val="1"/>
      <w:numFmt w:val="lowerRoman"/>
      <w:lvlText w:val="%3."/>
      <w:lvlJc w:val="right"/>
      <w:pPr>
        <w:ind w:left="2508" w:hanging="180"/>
      </w:pPr>
    </w:lvl>
    <w:lvl w:ilvl="3" w:tplc="D61A5A1E">
      <w:start w:val="1"/>
      <w:numFmt w:val="decimal"/>
      <w:lvlText w:val="%4."/>
      <w:lvlJc w:val="left"/>
      <w:pPr>
        <w:ind w:left="3228" w:hanging="360"/>
      </w:pPr>
    </w:lvl>
    <w:lvl w:ilvl="4" w:tplc="BA24A328">
      <w:start w:val="1"/>
      <w:numFmt w:val="lowerLetter"/>
      <w:lvlText w:val="%5."/>
      <w:lvlJc w:val="left"/>
      <w:pPr>
        <w:ind w:left="3948" w:hanging="360"/>
      </w:pPr>
    </w:lvl>
    <w:lvl w:ilvl="5" w:tplc="B1F47F30">
      <w:start w:val="1"/>
      <w:numFmt w:val="lowerRoman"/>
      <w:lvlText w:val="%6."/>
      <w:lvlJc w:val="right"/>
      <w:pPr>
        <w:ind w:left="4668" w:hanging="180"/>
      </w:pPr>
    </w:lvl>
    <w:lvl w:ilvl="6" w:tplc="EB5820DE">
      <w:start w:val="1"/>
      <w:numFmt w:val="decimal"/>
      <w:lvlText w:val="%7."/>
      <w:lvlJc w:val="left"/>
      <w:pPr>
        <w:ind w:left="5388" w:hanging="360"/>
      </w:pPr>
    </w:lvl>
    <w:lvl w:ilvl="7" w:tplc="2D268460">
      <w:start w:val="1"/>
      <w:numFmt w:val="lowerLetter"/>
      <w:lvlText w:val="%8."/>
      <w:lvlJc w:val="left"/>
      <w:pPr>
        <w:ind w:left="6108" w:hanging="360"/>
      </w:pPr>
    </w:lvl>
    <w:lvl w:ilvl="8" w:tplc="F68A9BCE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1312B6"/>
    <w:multiLevelType w:val="hybridMultilevel"/>
    <w:tmpl w:val="18B4311E"/>
    <w:lvl w:ilvl="0" w:tplc="B20C1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187A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0AF1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A68ED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66A9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D063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AA21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FA98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49E6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742796"/>
    <w:multiLevelType w:val="hybridMultilevel"/>
    <w:tmpl w:val="DEAC16AC"/>
    <w:lvl w:ilvl="0" w:tplc="8E2A4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F056085"/>
    <w:multiLevelType w:val="hybridMultilevel"/>
    <w:tmpl w:val="39445B1E"/>
    <w:lvl w:ilvl="0" w:tplc="220EDB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AFC75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BCB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6208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BA83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02FF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BCDC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9A9B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FE3E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BE0791"/>
    <w:multiLevelType w:val="hybridMultilevel"/>
    <w:tmpl w:val="FEFEE3FC"/>
    <w:lvl w:ilvl="0" w:tplc="E1F07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86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0F4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29D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819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F49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48C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FCBA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B862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613D38"/>
    <w:multiLevelType w:val="hybridMultilevel"/>
    <w:tmpl w:val="9AFE80F6"/>
    <w:lvl w:ilvl="0" w:tplc="DE5E7E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9A8B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9210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946C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7DA76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F474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A70C0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EC20F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E61E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701113"/>
    <w:multiLevelType w:val="hybridMultilevel"/>
    <w:tmpl w:val="5E7E79EA"/>
    <w:lvl w:ilvl="0" w:tplc="A350C1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58AF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2AB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F2A06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E40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0291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AC4F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2633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5A7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D61740"/>
    <w:multiLevelType w:val="hybridMultilevel"/>
    <w:tmpl w:val="345E58A4"/>
    <w:lvl w:ilvl="0" w:tplc="DE306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626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5216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83C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A895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200C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3AC3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9205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6EB0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9"/>
  </w:num>
  <w:num w:numId="3">
    <w:abstractNumId w:val="8"/>
  </w:num>
  <w:num w:numId="4">
    <w:abstractNumId w:val="3"/>
  </w:num>
  <w:num w:numId="5">
    <w:abstractNumId w:val="24"/>
  </w:num>
  <w:num w:numId="6">
    <w:abstractNumId w:val="12"/>
  </w:num>
  <w:num w:numId="7">
    <w:abstractNumId w:val="0"/>
  </w:num>
  <w:num w:numId="8">
    <w:abstractNumId w:val="19"/>
  </w:num>
  <w:num w:numId="9">
    <w:abstractNumId w:val="26"/>
  </w:num>
  <w:num w:numId="10">
    <w:abstractNumId w:val="18"/>
  </w:num>
  <w:num w:numId="11">
    <w:abstractNumId w:val="31"/>
  </w:num>
  <w:num w:numId="12">
    <w:abstractNumId w:val="30"/>
  </w:num>
  <w:num w:numId="13">
    <w:abstractNumId w:val="11"/>
  </w:num>
  <w:num w:numId="14">
    <w:abstractNumId w:val="21"/>
  </w:num>
  <w:num w:numId="15">
    <w:abstractNumId w:val="20"/>
  </w:num>
  <w:num w:numId="16">
    <w:abstractNumId w:val="6"/>
  </w:num>
  <w:num w:numId="17">
    <w:abstractNumId w:val="13"/>
  </w:num>
  <w:num w:numId="18">
    <w:abstractNumId w:val="32"/>
  </w:num>
  <w:num w:numId="19">
    <w:abstractNumId w:val="23"/>
  </w:num>
  <w:num w:numId="20">
    <w:abstractNumId w:val="28"/>
  </w:num>
  <w:num w:numId="21">
    <w:abstractNumId w:val="1"/>
  </w:num>
  <w:num w:numId="22">
    <w:abstractNumId w:val="16"/>
  </w:num>
  <w:num w:numId="23">
    <w:abstractNumId w:val="25"/>
  </w:num>
  <w:num w:numId="24">
    <w:abstractNumId w:val="14"/>
  </w:num>
  <w:num w:numId="25">
    <w:abstractNumId w:val="4"/>
  </w:num>
  <w:num w:numId="26">
    <w:abstractNumId w:val="10"/>
  </w:num>
  <w:num w:numId="27">
    <w:abstractNumId w:val="7"/>
  </w:num>
  <w:num w:numId="28">
    <w:abstractNumId w:val="22"/>
  </w:num>
  <w:num w:numId="29">
    <w:abstractNumId w:val="15"/>
  </w:num>
  <w:num w:numId="30">
    <w:abstractNumId w:val="17"/>
  </w:num>
  <w:num w:numId="31">
    <w:abstractNumId w:val="2"/>
  </w:num>
  <w:num w:numId="32">
    <w:abstractNumId w:val="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ED"/>
    <w:rsid w:val="001176ED"/>
    <w:rsid w:val="002B056C"/>
    <w:rsid w:val="00501E4A"/>
    <w:rsid w:val="007F5400"/>
    <w:rsid w:val="00E6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1CCC07-25DC-4950-BFDA-E5D3A0B5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inorHAnsi" w:eastAsiaTheme="majorEastAsia" w:hAnsiTheme="minorHAnsi" w:cstheme="majorBidi"/>
      <w:color w:val="272727" w:themeColor="text1" w:themeTint="D8"/>
    </w:rPr>
  </w:style>
  <w:style w:type="paragraph" w:styleId="af3">
    <w:name w:val="Title"/>
    <w:basedOn w:val="a"/>
    <w:next w:val="a"/>
    <w:link w:val="af4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5">
    <w:name w:val="Subtitle"/>
    <w:basedOn w:val="a"/>
    <w:next w:val="a"/>
    <w:link w:val="af6"/>
    <w:uiPriority w:val="11"/>
    <w:qFormat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f6">
    <w:name w:val="Подзаголовок Знак"/>
    <w:basedOn w:val="a0"/>
    <w:link w:val="af5"/>
    <w:uiPriority w:val="1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a">
    <w:name w:val="Выделенная цитата Знак"/>
    <w:basedOn w:val="a0"/>
    <w:link w:val="af9"/>
    <w:uiPriority w:val="30"/>
    <w:rPr>
      <w:i/>
      <w:iCs/>
      <w:color w:val="2F5496" w:themeColor="accent1" w:themeShade="BF"/>
    </w:rPr>
  </w:style>
  <w:style w:type="character" w:styleId="afb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eastAsia="Times New Roman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Сапичев</dc:creator>
  <cp:keywords/>
  <dc:description/>
  <cp:lastModifiedBy>Склярова Марина Сергеевна</cp:lastModifiedBy>
  <cp:revision>2</cp:revision>
  <dcterms:created xsi:type="dcterms:W3CDTF">2025-04-02T13:22:00Z</dcterms:created>
  <dcterms:modified xsi:type="dcterms:W3CDTF">2025-04-02T13:22:00Z</dcterms:modified>
</cp:coreProperties>
</file>